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B3" w:rsidRPr="005A5F7B" w:rsidRDefault="00AC5BB3" w:rsidP="00AC5B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Государственной премии Республики Саха (Якутия) имени В.П. Ларионова в области науки и техники молодым ученым и </w:t>
      </w:r>
      <w:proofErr w:type="gramStart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специалистам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1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В.П. Ларионова в области науки и техники молодым ученым и специалистам (далее - Государственная премия) учреждена </w:t>
      </w:r>
      <w:hyperlink r:id="rId4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действительного члена Российской академии наук и Академии наук Республики Саха (Якутия), заслуженного деятеля науки Республики Саха (Якутия), доктора технических наук, внесшего большой вклад в развитие науки и техники Республики Саха (Якутия), Владимира Петровича Ларионова.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12"/>
      <w:bookmarkEnd w:id="0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молодым ученым и специалистам за выдающиеся работы, открытия и достижения, результаты которых способствовали развитию науки и оказали значительное влияние на социально-экономическое развитие Республики Саха (Якутия).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13"/>
      <w:bookmarkEnd w:id="1"/>
      <w:r w:rsidRPr="005A5F7B">
        <w:rPr>
          <w:rFonts w:ascii="Arial" w:hAnsi="Arial" w:cs="Arial"/>
          <w:sz w:val="24"/>
          <w:szCs w:val="24"/>
        </w:rPr>
        <w:t>3. Предельный возраст молодых ученых и специалистов не должен превышать 35 лет на дату выдвижения кандидатуры на конкурс.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14"/>
      <w:bookmarkEnd w:id="2"/>
      <w:r w:rsidRPr="005A5F7B">
        <w:rPr>
          <w:rFonts w:ascii="Arial" w:hAnsi="Arial" w:cs="Arial"/>
          <w:sz w:val="24"/>
          <w:szCs w:val="24"/>
        </w:rPr>
        <w:t>4. Государственная премия может присуждаться как персонально, так и коллективу соискателей. Коллектив авторов работы, выдвигаемой на соискание Государственной премии, не может превышать трех человек.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15"/>
      <w:bookmarkEnd w:id="3"/>
      <w:r w:rsidRPr="005A5F7B">
        <w:rPr>
          <w:rFonts w:ascii="Arial" w:hAnsi="Arial" w:cs="Arial"/>
          <w:sz w:val="24"/>
          <w:szCs w:val="24"/>
        </w:rPr>
        <w:t>5. Государственная премия присуждается Указом Главы Республики Саха (Якутия) ежегодно ко Дню российской науки - 08 февраля.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16"/>
      <w:bookmarkEnd w:id="4"/>
      <w:r w:rsidRPr="005A5F7B">
        <w:rPr>
          <w:rFonts w:ascii="Arial" w:hAnsi="Arial" w:cs="Arial"/>
          <w:sz w:val="24"/>
          <w:szCs w:val="24"/>
        </w:rPr>
        <w:t>6.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17"/>
      <w:bookmarkEnd w:id="5"/>
      <w:r w:rsidRPr="005A5F7B">
        <w:rPr>
          <w:rFonts w:ascii="Arial" w:hAnsi="Arial" w:cs="Arial"/>
          <w:sz w:val="24"/>
          <w:szCs w:val="24"/>
        </w:rPr>
        <w:t>7. Выдвижение работ на соискание Государственной премии производится президиумами Якутского научного центра Сибирского отделения Российской академии наук и Академии наук Республики Саха (Якутия), отраслевыми секциями Совета по науке и технической политике при Главе Республики Саха (Якутия), коллегиями министерств и ведомств Республики Саха (Якутия), учеными советами научных учреждений и образовательных организаций высшего образования, научно-техническими советами объединений и предприятий (далее - Совет).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18"/>
      <w:bookmarkEnd w:id="6"/>
      <w:r w:rsidRPr="005A5F7B">
        <w:rPr>
          <w:rFonts w:ascii="Arial" w:hAnsi="Arial" w:cs="Arial"/>
          <w:sz w:val="24"/>
          <w:szCs w:val="24"/>
        </w:rPr>
        <w:t>8.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в области науки и техники (далее - Комиссия) со дня опубликования объявления до 10 ноября текущего года.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19"/>
      <w:bookmarkEnd w:id="7"/>
      <w:r w:rsidRPr="005A5F7B">
        <w:rPr>
          <w:rFonts w:ascii="Arial" w:hAnsi="Arial" w:cs="Arial"/>
          <w:sz w:val="24"/>
          <w:szCs w:val="24"/>
        </w:rPr>
        <w:t>9. 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110"/>
      <w:bookmarkEnd w:id="8"/>
      <w:r w:rsidRPr="005A5F7B">
        <w:rPr>
          <w:rFonts w:ascii="Arial" w:hAnsi="Arial" w:cs="Arial"/>
          <w:sz w:val="24"/>
          <w:szCs w:val="24"/>
        </w:rPr>
        <w:t>10. Совет, выдвигающий кандидатуру (кандидатуры) на соискание Государственной премии, подготавливает письменное представление, которое подписывается председателем соответствующего Совета.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111"/>
      <w:bookmarkEnd w:id="9"/>
      <w:r w:rsidRPr="005A5F7B">
        <w:rPr>
          <w:rFonts w:ascii="Arial" w:hAnsi="Arial" w:cs="Arial"/>
          <w:sz w:val="24"/>
          <w:szCs w:val="24"/>
        </w:rPr>
        <w:t>11. К представлению прилагаются:</w:t>
      </w:r>
    </w:p>
    <w:bookmarkEnd w:id="10"/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сведения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lastRenderedPageBreak/>
        <w:t>оценка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деятельности кандидатов, мотивирующая выдвижение их на соискание Государственной премии, сведения, подтверждающие широкое общественное признание подвижнической деятельности кандидатов на соискание Государственной премии;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протокол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заседания, на котором принято решение о выдвижении кандидатов на соискание Государственной премии;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характеристика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на кандидата, заверенная печатью;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научно</w:t>
      </w:r>
      <w:proofErr w:type="gramEnd"/>
      <w:r w:rsidRPr="005A5F7B">
        <w:rPr>
          <w:rFonts w:ascii="Arial" w:hAnsi="Arial" w:cs="Arial"/>
          <w:sz w:val="24"/>
          <w:szCs w:val="24"/>
        </w:rPr>
        <w:t>-исследовательские работы, опытно-конструкторские разработки, инновационные проекты, опубликованные и (или) нашедшие свое применение в отраслях экономики и/или социальной сферы Республики Саха (Якутия) не позднее чем за 1 год до их выдвижения на соискание Государственной премии;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отечественные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и/или зарубежные отзывы научных сообществ (при наличии).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112"/>
      <w:r w:rsidRPr="005A5F7B">
        <w:rPr>
          <w:rFonts w:ascii="Arial" w:hAnsi="Arial" w:cs="Arial"/>
          <w:sz w:val="24"/>
          <w:szCs w:val="24"/>
        </w:rPr>
        <w:t>12. Не допускается включение в коллектив соискателей лиц по принципу административной, консультативной и организационной причастности к работе.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113"/>
      <w:bookmarkEnd w:id="11"/>
      <w:r w:rsidRPr="005A5F7B">
        <w:rPr>
          <w:rFonts w:ascii="Arial" w:hAnsi="Arial" w:cs="Arial"/>
          <w:sz w:val="24"/>
          <w:szCs w:val="24"/>
        </w:rPr>
        <w:t>13. Научно-исследовательские работы, опытно-конструкторские разработки, инновационные проекты, за которые их исполнители уже были удостоены государственных наград или премий Российской Федерации и Республики Саха (Якутия), к рассмотрению не принимаются.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114"/>
      <w:bookmarkEnd w:id="12"/>
      <w:r w:rsidRPr="005A5F7B">
        <w:rPr>
          <w:rFonts w:ascii="Arial" w:hAnsi="Arial" w:cs="Arial"/>
          <w:sz w:val="24"/>
          <w:szCs w:val="24"/>
        </w:rPr>
        <w:t>14. Одновременное выдвижение одной и той же работы на соискание Государственной премии, а также других премий Российской Федерации и Республики Саха (Якутия) не допускается.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115"/>
      <w:bookmarkEnd w:id="13"/>
      <w:r w:rsidRPr="005A5F7B">
        <w:rPr>
          <w:rFonts w:ascii="Arial" w:hAnsi="Arial" w:cs="Arial"/>
          <w:sz w:val="24"/>
          <w:szCs w:val="24"/>
        </w:rPr>
        <w:t>15. Порядок рассмотрения представлений, оформления необходимых материалов и документов определяется Комиссией.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116"/>
      <w:bookmarkEnd w:id="14"/>
      <w:r w:rsidRPr="005A5F7B">
        <w:rPr>
          <w:rFonts w:ascii="Arial" w:hAnsi="Arial" w:cs="Arial"/>
          <w:sz w:val="24"/>
          <w:szCs w:val="24"/>
        </w:rPr>
        <w:t>16. Представления, выдвинутые на соискание Государственной премии, рассматриваются Комиссией в два этапа: 1 этап - с 11 ноября по 17 ноября, второй этап - с 18 декабря по 31 декабря. В период между этапами проводится независимая экспертиза проектов.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117"/>
      <w:bookmarkEnd w:id="15"/>
      <w:r w:rsidRPr="005A5F7B">
        <w:rPr>
          <w:rFonts w:ascii="Arial" w:hAnsi="Arial" w:cs="Arial"/>
          <w:sz w:val="24"/>
          <w:szCs w:val="24"/>
        </w:rPr>
        <w:t xml:space="preserve">17. На первом этапе в соответствии с требованиями </w:t>
      </w:r>
      <w:hyperlink w:anchor="sub_10118" w:history="1">
        <w:r w:rsidRPr="005A5F7B">
          <w:rPr>
            <w:rFonts w:ascii="Arial" w:hAnsi="Arial" w:cs="Arial"/>
            <w:color w:val="106BBE"/>
            <w:sz w:val="24"/>
            <w:szCs w:val="24"/>
          </w:rPr>
          <w:t>пунктов 8-12</w:t>
        </w:r>
      </w:hyperlink>
      <w:r w:rsidRPr="005A5F7B">
        <w:rPr>
          <w:rFonts w:ascii="Arial" w:hAnsi="Arial" w:cs="Arial"/>
          <w:sz w:val="24"/>
          <w:szCs w:val="24"/>
        </w:rPr>
        <w:t xml:space="preserve"> настоящего Положения отбираются представления для участия в конкурсе на соискание Государственной премии и формируется список соискателей, на втором - принимается решение о рекомендации к присуждению Государственной премии.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118"/>
      <w:bookmarkEnd w:id="16"/>
      <w:r w:rsidRPr="005A5F7B">
        <w:rPr>
          <w:rFonts w:ascii="Arial" w:hAnsi="Arial" w:cs="Arial"/>
          <w:sz w:val="24"/>
          <w:szCs w:val="24"/>
        </w:rPr>
        <w:t>18. Решение о включении выдвинутых кандидатур в список соискателей Государственной премии принимается Комиссией не позднее 17 ноября текущего года и оформляется протоколом.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119"/>
      <w:bookmarkEnd w:id="17"/>
      <w:r w:rsidRPr="005A5F7B">
        <w:rPr>
          <w:rFonts w:ascii="Arial" w:hAnsi="Arial" w:cs="Arial"/>
          <w:sz w:val="24"/>
          <w:szCs w:val="24"/>
        </w:rPr>
        <w:t>19. Список соискателей опубликованию и разглашению не подлежит.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120"/>
      <w:bookmarkEnd w:id="18"/>
      <w:r w:rsidRPr="005A5F7B">
        <w:rPr>
          <w:rFonts w:ascii="Arial" w:hAnsi="Arial" w:cs="Arial"/>
          <w:sz w:val="24"/>
          <w:szCs w:val="24"/>
        </w:rPr>
        <w:t>20. В соответствии со списком соискателей Государственной премии Комиссия направляет представления на соискателей и прилагаемые к ним материалы на независимую экспертизу в течение трех календарных дней со дня принятия решения Комиссии. Целью экспертизы является оценка значимости научной, творческой работы соискателя, ее соответствие установленным критериям.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121"/>
      <w:bookmarkEnd w:id="19"/>
      <w:r w:rsidRPr="005A5F7B">
        <w:rPr>
          <w:rFonts w:ascii="Arial" w:hAnsi="Arial" w:cs="Arial"/>
          <w:sz w:val="24"/>
          <w:szCs w:val="24"/>
        </w:rPr>
        <w:t>21. Экспертиза проводится ведущими организациями соответствующего профиля или отдельными экспертами из числа ученых. Перечень организаций и экспертов, осуществляющих экспертизу, утверждается Комиссией. Срок экспертизы не должен превышать 15 рабочих дней со дня поступления материалов.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122"/>
      <w:bookmarkEnd w:id="20"/>
      <w:r w:rsidRPr="005A5F7B">
        <w:rPr>
          <w:rFonts w:ascii="Arial" w:hAnsi="Arial" w:cs="Arial"/>
          <w:sz w:val="24"/>
          <w:szCs w:val="24"/>
        </w:rPr>
        <w:t>22. Результаты экспертизы излагаются в мотивированном заключении.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123"/>
      <w:bookmarkEnd w:id="21"/>
      <w:r w:rsidRPr="005A5F7B">
        <w:rPr>
          <w:rFonts w:ascii="Arial" w:hAnsi="Arial" w:cs="Arial"/>
          <w:sz w:val="24"/>
          <w:szCs w:val="24"/>
        </w:rPr>
        <w:t>23. На каждое представление должно быть получено не менее двух заключений, подготовленных независимо друг от друга.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124"/>
      <w:bookmarkEnd w:id="22"/>
      <w:r w:rsidRPr="005A5F7B">
        <w:rPr>
          <w:rFonts w:ascii="Arial" w:hAnsi="Arial" w:cs="Arial"/>
          <w:sz w:val="24"/>
          <w:szCs w:val="24"/>
        </w:rPr>
        <w:t>24. Заключение подписывается лицом, проводившим экспертизу, а также руководителем организации, если экспертиза проводилась в организации.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125"/>
      <w:bookmarkEnd w:id="23"/>
      <w:r w:rsidRPr="005A5F7B">
        <w:rPr>
          <w:rFonts w:ascii="Arial" w:hAnsi="Arial" w:cs="Arial"/>
          <w:sz w:val="24"/>
          <w:szCs w:val="24"/>
        </w:rPr>
        <w:t>25. Результаты экспертизы, а также сведения об экспертах доступны только членам Комиссии и разглашению не подлежат.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126"/>
      <w:bookmarkEnd w:id="24"/>
      <w:r w:rsidRPr="005A5F7B">
        <w:rPr>
          <w:rFonts w:ascii="Arial" w:hAnsi="Arial" w:cs="Arial"/>
          <w:sz w:val="24"/>
          <w:szCs w:val="24"/>
        </w:rPr>
        <w:lastRenderedPageBreak/>
        <w:t>26. С учетом полученных заключений Комиссия подготавливает предложения для итогового обсуждения представлений на соискателей Государственной премии на заседании Комиссии.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127"/>
      <w:bookmarkEnd w:id="25"/>
      <w:r w:rsidRPr="005A5F7B">
        <w:rPr>
          <w:rFonts w:ascii="Arial" w:hAnsi="Arial" w:cs="Arial"/>
          <w:sz w:val="24"/>
          <w:szCs w:val="24"/>
        </w:rPr>
        <w:t>27. Представления, на которые получено два отрицательных заключения, на заседание Комиссии не вносятся. При наличии как положительного, так и отрицательного заключения решение о включении или не включении кандидатов в список соискателей принимается Комиссией.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128"/>
      <w:bookmarkEnd w:id="26"/>
      <w:r w:rsidRPr="005A5F7B">
        <w:rPr>
          <w:rFonts w:ascii="Arial" w:hAnsi="Arial" w:cs="Arial"/>
          <w:sz w:val="24"/>
          <w:szCs w:val="24"/>
        </w:rPr>
        <w:t>28. Критериями оценки проектов являются:</w:t>
      </w:r>
    </w:p>
    <w:bookmarkEnd w:id="27"/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новизна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и актуальность исследований;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значительное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теоретическое и практическое значение полученных результатов в отраслях экономики и социальной сферы Республики Саха (Якутия);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результаты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независимой экспертизы.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1129"/>
      <w:r w:rsidRPr="005A5F7B">
        <w:rPr>
          <w:rFonts w:ascii="Arial" w:hAnsi="Arial" w:cs="Arial"/>
          <w:sz w:val="24"/>
          <w:szCs w:val="24"/>
        </w:rPr>
        <w:t>29. Решение Комиссии обнародованию не подлежит.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130"/>
      <w:bookmarkEnd w:id="28"/>
      <w:r w:rsidRPr="005A5F7B">
        <w:rPr>
          <w:rFonts w:ascii="Arial" w:hAnsi="Arial" w:cs="Arial"/>
          <w:sz w:val="24"/>
          <w:szCs w:val="24"/>
        </w:rPr>
        <w:t>30. Повторное присуждение Государственной премии одному и тому же лицу (лауреату) не допускается.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131"/>
      <w:bookmarkEnd w:id="29"/>
      <w:r w:rsidRPr="005A5F7B">
        <w:rPr>
          <w:rFonts w:ascii="Arial" w:hAnsi="Arial" w:cs="Arial"/>
          <w:sz w:val="24"/>
          <w:szCs w:val="24"/>
        </w:rPr>
        <w:t>31.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132"/>
      <w:bookmarkEnd w:id="30"/>
      <w:r w:rsidRPr="005A5F7B">
        <w:rPr>
          <w:rFonts w:ascii="Arial" w:hAnsi="Arial" w:cs="Arial"/>
          <w:sz w:val="24"/>
          <w:szCs w:val="24"/>
        </w:rPr>
        <w:t>32.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1133"/>
      <w:bookmarkEnd w:id="31"/>
      <w:r w:rsidRPr="005A5F7B">
        <w:rPr>
          <w:rFonts w:ascii="Arial" w:hAnsi="Arial" w:cs="Arial"/>
          <w:sz w:val="24"/>
          <w:szCs w:val="24"/>
        </w:rPr>
        <w:t>33. Лицу, удостоенному Государственной премии, присваивается почетное звание "Лауреат Государственной премии Республики Саха (Якутия) имени В.П. Ларионова в области науки и техники молодым ученым и специалистам",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1134"/>
      <w:bookmarkEnd w:id="32"/>
      <w:r w:rsidRPr="005A5F7B">
        <w:rPr>
          <w:rFonts w:ascii="Arial" w:hAnsi="Arial" w:cs="Arial"/>
          <w:sz w:val="24"/>
          <w:szCs w:val="24"/>
        </w:rPr>
        <w:t>34.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1135"/>
      <w:bookmarkEnd w:id="33"/>
      <w:r w:rsidRPr="005A5F7B">
        <w:rPr>
          <w:rFonts w:ascii="Arial" w:hAnsi="Arial" w:cs="Arial"/>
          <w:sz w:val="24"/>
          <w:szCs w:val="24"/>
        </w:rPr>
        <w:t>35.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34"/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5" w:name="sub_11000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11.1</w:t>
      </w:r>
    </w:p>
    <w:bookmarkEnd w:id="35"/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5BB3" w:rsidRPr="005A5F7B" w:rsidRDefault="00AC5BB3" w:rsidP="00AC5B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нагрудного знака Государственной премии Республики Саха (Якутия) имени В.П. Ларионова в области науки и техники для молодых ученых и </w:t>
      </w:r>
      <w:proofErr w:type="gramStart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специалистов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рельефное изображение коновязи (</w:t>
      </w:r>
      <w:proofErr w:type="spellStart"/>
      <w:r w:rsidRPr="005A5F7B">
        <w:rPr>
          <w:rFonts w:ascii="Arial" w:hAnsi="Arial" w:cs="Arial"/>
          <w:sz w:val="24"/>
          <w:szCs w:val="24"/>
        </w:rPr>
        <w:t>сэргэ</w:t>
      </w:r>
      <w:proofErr w:type="spellEnd"/>
      <w:r w:rsidRPr="005A5F7B">
        <w:rPr>
          <w:rFonts w:ascii="Arial" w:hAnsi="Arial" w:cs="Arial"/>
          <w:sz w:val="24"/>
          <w:szCs w:val="24"/>
        </w:rPr>
        <w:t>), несущей над собой символ атома, они сопровождены слева лавровой ветвью.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lastRenderedPageBreak/>
        <w:t>На оборотной стороне знака по центру - надпись рельефными буквами в восемь строк "Лауреат Государственной премии Республики Саха (Якутия) в области науки и техники".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Знак при помощи ушка и кольца соединен с прямоугольной колодкой размером 26x14x1,5 мм. Колодка покрыта ювелирными силикатными эмалями в 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AC5BB3" w:rsidRPr="005A5F7B" w:rsidRDefault="00AC5BB3" w:rsidP="00AC5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60737" w:rsidRDefault="00AC5BB3">
      <w:bookmarkStart w:id="36" w:name="_GoBack"/>
      <w:bookmarkEnd w:id="36"/>
    </w:p>
    <w:sectPr w:rsidR="00F6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5"/>
    <w:rsid w:val="003C4F82"/>
    <w:rsid w:val="0072624A"/>
    <w:rsid w:val="00871515"/>
    <w:rsid w:val="00A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B78F-F64F-4A09-B5FE-6CF5A10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6603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Кривошапкин Константин Константинович</dc:creator>
  <cp:keywords/>
  <dc:description/>
  <cp:lastModifiedBy>Кривошапкин Константин Константинович</cp:lastModifiedBy>
  <cp:revision>3</cp:revision>
  <dcterms:created xsi:type="dcterms:W3CDTF">2018-10-19T02:00:00Z</dcterms:created>
  <dcterms:modified xsi:type="dcterms:W3CDTF">2018-10-19T02:04:00Z</dcterms:modified>
</cp:coreProperties>
</file>